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left"/>
        <w:rPr>
          <w:rFonts w:eastAsia="黑体"/>
          <w:sz w:val="32"/>
          <w:szCs w:val="32"/>
        </w:rPr>
      </w:pPr>
      <w:bookmarkStart w:id="48" w:name="_GoBack"/>
      <w:r>
        <w:rPr>
          <w:rFonts w:hint="eastAsia" w:hAnsi="黑体" w:eastAsia="黑体"/>
          <w:sz w:val="32"/>
          <w:szCs w:val="32"/>
        </w:rPr>
        <w:t>附件2</w:t>
      </w:r>
    </w:p>
    <w:p>
      <w:pPr>
        <w:jc w:val="center"/>
        <w:rPr>
          <w:rFonts w:eastAsia="方正小标宋简体"/>
          <w:sz w:val="44"/>
          <w:szCs w:val="44"/>
        </w:rPr>
      </w:pPr>
      <w:r>
        <w:rPr>
          <w:rFonts w:hint="eastAsia" w:eastAsia="方正小标宋简体"/>
          <w:sz w:val="44"/>
          <w:szCs w:val="44"/>
        </w:rPr>
        <w:t>郑州商品交易所做市商管理办法</w:t>
      </w:r>
    </w:p>
    <w:bookmarkEnd w:id="48"/>
    <w:p>
      <w:pPr>
        <w:ind w:right="160" w:firstLine="480" w:firstLineChars="200"/>
        <w:jc w:val="left"/>
        <w:rPr>
          <w:rFonts w:eastAsia="方正小标宋简体"/>
          <w:sz w:val="44"/>
          <w:szCs w:val="44"/>
        </w:rPr>
      </w:pPr>
      <w:r>
        <w:rPr>
          <w:rFonts w:hint="eastAsia" w:ascii="仿宋" w:hAnsi="仿宋" w:eastAsia="仿宋" w:cs="仿宋"/>
          <w:sz w:val="24"/>
        </w:rPr>
        <w:t>（2024年3月22日郑州商品交易所第八届理事会第十二次会议审议通过，自</w:t>
      </w:r>
      <w:r>
        <w:rPr>
          <w:rFonts w:hint="eastAsia" w:ascii="仿宋" w:hAnsi="仿宋" w:eastAsia="仿宋" w:cs="仿宋"/>
          <w:sz w:val="24"/>
          <w:lang w:val="en-US" w:eastAsia="zh-CN"/>
        </w:rPr>
        <w:t>2024年4月1</w:t>
      </w:r>
      <w:r>
        <w:rPr>
          <w:rFonts w:hint="eastAsia" w:ascii="仿宋" w:hAnsi="仿宋" w:eastAsia="仿宋" w:cs="仿宋"/>
          <w:sz w:val="24"/>
        </w:rPr>
        <w:t>日起施行）</w:t>
      </w:r>
    </w:p>
    <w:p>
      <w:pPr>
        <w:pStyle w:val="2"/>
        <w:jc w:val="center"/>
        <w:rPr>
          <w:rFonts w:ascii="黑体" w:hAnsi="黑体" w:eastAsia="黑体"/>
          <w:b w:val="0"/>
        </w:rPr>
      </w:pPr>
      <w:r>
        <w:rPr>
          <w:rFonts w:hint="eastAsia" w:ascii="黑体" w:hAnsi="黑体" w:eastAsia="黑体"/>
          <w:b w:val="0"/>
        </w:rPr>
        <w:t xml:space="preserve">第一章 </w:t>
      </w:r>
      <w:r>
        <w:rPr>
          <w:rFonts w:hint="eastAsia" w:ascii="黑体" w:hAnsi="黑体" w:eastAsia="黑体"/>
          <w:b w:val="0"/>
          <w:lang w:val="en-US" w:eastAsia="zh-CN"/>
        </w:rPr>
        <w:t xml:space="preserve"> </w:t>
      </w:r>
      <w:r>
        <w:rPr>
          <w:rFonts w:hint="eastAsia" w:ascii="黑体" w:hAnsi="黑体" w:eastAsia="黑体"/>
          <w:b w:val="0"/>
        </w:rPr>
        <w:t>总</w:t>
      </w:r>
      <w:r>
        <w:rPr>
          <w:rFonts w:hint="eastAsia" w:ascii="黑体" w:hAnsi="黑体" w:eastAsia="黑体"/>
          <w:b w:val="0"/>
          <w:lang w:val="en-US" w:eastAsia="zh-CN"/>
        </w:rPr>
        <w:t xml:space="preserve"> </w:t>
      </w:r>
      <w:r>
        <w:rPr>
          <w:rFonts w:hint="eastAsia" w:ascii="黑体" w:hAnsi="黑体" w:eastAsia="黑体"/>
          <w:b w:val="0"/>
        </w:rPr>
        <w:t>则</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为规范郑州商品交易所（以下简称交易所）做市商交易，增强交易流动性，促进市场功能发挥，根据《郑州商品交易所交易规则》，结合市场实际，制定本办法。</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做市商是指经交易所认可，为指定期货、期权品种的合约提供双边报价等服务的法人或者其他经济组织。</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本办法适用于交易所做市商交易及相关活动，交易所、做市商及会员应当遵守本办法。</w:t>
      </w:r>
    </w:p>
    <w:p>
      <w:pPr>
        <w:pStyle w:val="2"/>
        <w:tabs>
          <w:tab w:val="left" w:pos="648"/>
        </w:tabs>
        <w:spacing w:before="120" w:afterLines="50"/>
        <w:jc w:val="center"/>
        <w:rPr>
          <w:rFonts w:ascii="黑体" w:hAnsi="黑体" w:eastAsia="黑体"/>
          <w:b w:val="0"/>
        </w:rPr>
      </w:pPr>
      <w:bookmarkStart w:id="0" w:name="_Toc369378643"/>
      <w:bookmarkStart w:id="1" w:name="_Toc402528254"/>
      <w:bookmarkStart w:id="2" w:name="_Toc102537704"/>
      <w:bookmarkStart w:id="3" w:name="_Toc111645511"/>
      <w:bookmarkStart w:id="4" w:name="_Toc402536859"/>
      <w:bookmarkStart w:id="5" w:name="_Toc413315489"/>
      <w:bookmarkStart w:id="6" w:name="_Toc401817177"/>
      <w:bookmarkStart w:id="7" w:name="_Toc413338931"/>
      <w:bookmarkStart w:id="8" w:name="_Toc418862459"/>
      <w:bookmarkStart w:id="9" w:name="_Toc99348506"/>
      <w:bookmarkStart w:id="10" w:name="_Toc100978791"/>
      <w:bookmarkStart w:id="11" w:name="_Toc370132646"/>
      <w:r>
        <w:rPr>
          <w:rFonts w:hint="eastAsia" w:ascii="黑体" w:hAnsi="黑体" w:eastAsia="黑体"/>
          <w:b w:val="0"/>
        </w:rPr>
        <w:t xml:space="preserve">第二章 </w:t>
      </w:r>
      <w:r>
        <w:rPr>
          <w:rFonts w:hint="eastAsia" w:ascii="黑体" w:hAnsi="黑体" w:eastAsia="黑体"/>
          <w:b w:val="0"/>
          <w:lang w:val="en-US" w:eastAsia="zh-CN"/>
        </w:rPr>
        <w:t xml:space="preserve"> </w:t>
      </w:r>
      <w:r>
        <w:rPr>
          <w:rFonts w:hint="eastAsia" w:ascii="黑体" w:hAnsi="黑体" w:eastAsia="黑体"/>
          <w:b w:val="0"/>
        </w:rPr>
        <w:t>资格管理</w:t>
      </w:r>
      <w:bookmarkEnd w:id="0"/>
      <w:bookmarkEnd w:id="1"/>
      <w:bookmarkEnd w:id="2"/>
      <w:bookmarkEnd w:id="3"/>
      <w:bookmarkEnd w:id="4"/>
      <w:bookmarkEnd w:id="5"/>
      <w:bookmarkEnd w:id="6"/>
      <w:bookmarkEnd w:id="7"/>
      <w:bookmarkEnd w:id="8"/>
      <w:bookmarkEnd w:id="9"/>
      <w:bookmarkEnd w:id="10"/>
      <w:bookmarkEnd w:id="11"/>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交易所可以在指定品种上引入做市商，并向市场公布。</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交易所可以对做市商实施分级管理，并可以根据市场发展情况对做市商数量和结构进行调整。</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交易所按品种实行做市商资格管理。申请做市商资格，应当具备下列条件：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（一）净资产不低于人民币</w:t>
      </w:r>
      <w:r>
        <w:rPr>
          <w:rFonts w:ascii="仿宋" w:hAnsi="仿宋" w:eastAsia="仿宋"/>
          <w:sz w:val="32"/>
          <w:szCs w:val="32"/>
        </w:rPr>
        <w:t>5000万元；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（二）具有专门机构和人员负责做市交易，做市人员应当熟悉相关法律法规和交易所业务规则；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（三）具有健全的做市交易实施方案、内部控制制度和风险管理制度；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（四）最近三年无重大违法违规记录；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（五）具备稳定、可靠的做市交易技术系统；</w:t>
      </w:r>
    </w:p>
    <w:p>
      <w:pPr>
        <w:spacing w:line="360" w:lineRule="auto"/>
        <w:ind w:firstLine="640" w:firstLineChars="200"/>
        <w:rPr>
          <w:rFonts w:ascii="仿宋" w:hAnsi="仿宋" w:eastAsia="仿宋"/>
          <w:sz w:val="32"/>
          <w:szCs w:val="32"/>
        </w:rPr>
      </w:pPr>
      <w:r>
        <w:rPr>
          <w:rFonts w:hint="eastAsia" w:ascii="仿宋" w:hAnsi="仿宋" w:eastAsia="仿宋"/>
          <w:bCs/>
          <w:sz w:val="32"/>
          <w:szCs w:val="32"/>
        </w:rPr>
        <w:t>（六）具有交易所认可的交易、做市或者仿真交易做市的经历；</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（七）交易所规定的其他条件。</w:t>
      </w:r>
    </w:p>
    <w:p>
      <w:pPr>
        <w:numPr>
          <w:ilvl w:val="0"/>
          <w:numId w:val="1"/>
        </w:numPr>
        <w:tabs>
          <w:tab w:val="left" w:pos="1440"/>
          <w:tab w:val="left" w:pos="1701"/>
        </w:tabs>
        <w:spacing w:line="360" w:lineRule="auto"/>
        <w:ind w:left="0" w:firstLine="640" w:firstLineChars="200"/>
        <w:rPr>
          <w:rFonts w:ascii="仿宋" w:hAnsi="仿宋" w:eastAsia="仿宋"/>
          <w:sz w:val="32"/>
          <w:szCs w:val="32"/>
        </w:rPr>
      </w:pPr>
      <w:r>
        <w:rPr>
          <w:rFonts w:hint="eastAsia" w:ascii="仿宋" w:hAnsi="仿宋" w:eastAsia="仿宋"/>
          <w:sz w:val="32"/>
          <w:szCs w:val="32"/>
        </w:rPr>
        <w:t>申请做市商资格，应当向交易所提交以下书面材料：</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（一）经法定代表人签章并加盖单位公章的做市商资格申请表；</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（二）加盖单位公章的营业执照复印件；</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（三）经审计的最近一期财务会计报告原件或者加盖会计师事务所公章的复印件；</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（四）做市交易部门的岗位设置和职责规定，以及从事做市交易的负责人及相关人员的名单、履历；</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（五）做市交易实施方案、内部控制制度和风险管理制度；</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（六）最近三年无重大违法违规行为的承诺书；</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（七）做市交易技术系统情况的说明；</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bCs/>
          <w:sz w:val="32"/>
          <w:szCs w:val="32"/>
        </w:rPr>
        <w:t>（八）交易、做市或者仿真交易做市情况的说明；</w:t>
      </w:r>
    </w:p>
    <w:p>
      <w:pPr>
        <w:tabs>
          <w:tab w:val="left" w:pos="1440"/>
        </w:tabs>
        <w:spacing w:line="360" w:lineRule="auto"/>
        <w:ind w:firstLine="640" w:firstLineChars="200"/>
        <w:rPr>
          <w:rFonts w:ascii="仿宋" w:hAnsi="仿宋" w:eastAsia="仿宋"/>
          <w:sz w:val="32"/>
          <w:szCs w:val="32"/>
        </w:rPr>
      </w:pPr>
      <w:r>
        <w:rPr>
          <w:rFonts w:hint="eastAsia" w:ascii="仿宋" w:hAnsi="仿宋" w:eastAsia="仿宋"/>
          <w:sz w:val="32"/>
          <w:szCs w:val="32"/>
        </w:rPr>
        <w:t>（九）交易所要求提供的其他材料。</w:t>
      </w:r>
    </w:p>
    <w:p>
      <w:pPr>
        <w:numPr>
          <w:ilvl w:val="0"/>
          <w:numId w:val="1"/>
        </w:numPr>
        <w:tabs>
          <w:tab w:val="left" w:pos="1440"/>
          <w:tab w:val="left" w:pos="1701"/>
          <w:tab w:val="left" w:pos="1843"/>
          <w:tab w:val="left" w:pos="2410"/>
        </w:tabs>
        <w:spacing w:line="360" w:lineRule="auto"/>
        <w:ind w:left="0" w:firstLine="640" w:firstLineChars="200"/>
        <w:rPr>
          <w:rFonts w:ascii="仿宋" w:hAnsi="仿宋" w:eastAsia="仿宋"/>
          <w:sz w:val="32"/>
          <w:szCs w:val="32"/>
        </w:rPr>
      </w:pPr>
      <w:r>
        <w:rPr>
          <w:rFonts w:hint="eastAsia" w:ascii="仿宋" w:hAnsi="仿宋" w:eastAsia="仿宋"/>
          <w:sz w:val="32"/>
          <w:szCs w:val="32"/>
        </w:rPr>
        <w:t>经交易所批准后，申请人应当自收到交易所通知之日起10个交易日内，与交易所签订做市商协议（以下简称协议），协议签署后，取得相应品种做市商资格。</w:t>
      </w:r>
    </w:p>
    <w:p>
      <w:pPr>
        <w:numPr>
          <w:ilvl w:val="0"/>
          <w:numId w:val="1"/>
        </w:numPr>
        <w:tabs>
          <w:tab w:val="left" w:pos="1440"/>
          <w:tab w:val="left" w:pos="1701"/>
          <w:tab w:val="left" w:pos="1843"/>
          <w:tab w:val="left" w:pos="2410"/>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做市商有下列情形之一的，交易所可以取消其在某一品种上的做市商资格：</w:t>
      </w:r>
    </w:p>
    <w:p>
      <w:pPr>
        <w:pStyle w:val="4"/>
        <w:tabs>
          <w:tab w:val="left" w:pos="900"/>
        </w:tabs>
        <w:spacing w:line="360" w:lineRule="auto"/>
        <w:ind w:firstLine="640" w:firstLineChars="200"/>
        <w:rPr>
          <w:rFonts w:ascii="仿宋" w:hAnsi="仿宋" w:eastAsia="仿宋"/>
          <w:sz w:val="32"/>
          <w:szCs w:val="32"/>
        </w:rPr>
      </w:pPr>
      <w:r>
        <w:rPr>
          <w:rFonts w:hint="eastAsia" w:ascii="仿宋" w:hAnsi="仿宋" w:eastAsia="仿宋"/>
          <w:sz w:val="32"/>
          <w:szCs w:val="32"/>
        </w:rPr>
        <w:t>（一）在协议约定期限内连续两个月或者累计三个月未完成约定义务；</w:t>
      </w:r>
    </w:p>
    <w:p>
      <w:pPr>
        <w:pStyle w:val="4"/>
        <w:tabs>
          <w:tab w:val="left" w:pos="900"/>
        </w:tabs>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color w:val="000000"/>
          <w:sz w:val="32"/>
          <w:szCs w:val="32"/>
        </w:rPr>
        <w:t>不再满足本办法第六条规定的做市商资格条件</w:t>
      </w:r>
      <w:r>
        <w:rPr>
          <w:rFonts w:hint="eastAsia" w:ascii="仿宋" w:hAnsi="仿宋" w:eastAsia="仿宋"/>
          <w:sz w:val="32"/>
          <w:szCs w:val="32"/>
        </w:rPr>
        <w:t>；</w:t>
      </w:r>
    </w:p>
    <w:p>
      <w:pPr>
        <w:pStyle w:val="4"/>
        <w:ind w:firstLine="614"/>
        <w:rPr>
          <w:rFonts w:ascii="仿宋" w:hAnsi="仿宋" w:eastAsia="仿宋"/>
          <w:kern w:val="0"/>
          <w:sz w:val="32"/>
          <w:szCs w:val="32"/>
        </w:rPr>
      </w:pPr>
      <w:r>
        <w:rPr>
          <w:rFonts w:hint="eastAsia" w:ascii="仿宋" w:hAnsi="仿宋" w:eastAsia="仿宋"/>
          <w:sz w:val="32"/>
          <w:szCs w:val="32"/>
        </w:rPr>
        <w:t>（三）交易所认定或协议约定的其他情形。</w:t>
      </w:r>
    </w:p>
    <w:p>
      <w:pPr>
        <w:numPr>
          <w:ilvl w:val="0"/>
          <w:numId w:val="1"/>
        </w:numPr>
        <w:tabs>
          <w:tab w:val="left" w:pos="1440"/>
          <w:tab w:val="left" w:pos="1701"/>
          <w:tab w:val="left" w:pos="1843"/>
          <w:tab w:val="left" w:pos="2410"/>
        </w:tabs>
        <w:spacing w:line="360" w:lineRule="auto"/>
        <w:ind w:left="0" w:firstLine="640" w:firstLineChars="200"/>
        <w:rPr>
          <w:rFonts w:ascii="仿宋" w:hAnsi="仿宋" w:eastAsia="仿宋"/>
          <w:color w:val="000000"/>
          <w:sz w:val="32"/>
          <w:szCs w:val="32"/>
        </w:rPr>
      </w:pPr>
      <w:r>
        <w:rPr>
          <w:rFonts w:hint="eastAsia" w:ascii="仿宋" w:hAnsi="仿宋" w:eastAsia="仿宋"/>
          <w:color w:val="000000"/>
          <w:sz w:val="32"/>
          <w:szCs w:val="32"/>
        </w:rPr>
        <w:t>做市商出现下列情形之一的，交易所可以取消其在所有品种上的做市商资格：</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（一）存在重大违法违规行为；</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（二）被采取证券、期货市场禁止进入措施；</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（三）依法被收购、兼并、撤销、解散或者宣告破产；</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（四）向交易所提交虚假材料；</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（五）交易所认定的其他情形。</w:t>
      </w:r>
    </w:p>
    <w:p>
      <w:pPr>
        <w:numPr>
          <w:ilvl w:val="0"/>
          <w:numId w:val="1"/>
        </w:numPr>
        <w:tabs>
          <w:tab w:val="left" w:pos="1440"/>
          <w:tab w:val="left" w:pos="1701"/>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做市商放弃某品种做市商资格，应提前一个月向交易所提出申请。</w:t>
      </w:r>
    </w:p>
    <w:p>
      <w:pPr>
        <w:numPr>
          <w:ilvl w:val="0"/>
          <w:numId w:val="1"/>
        </w:numPr>
        <w:tabs>
          <w:tab w:val="left" w:pos="1440"/>
          <w:tab w:val="left" w:pos="1701"/>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做市商放弃或被取消某品种做市商资格的，自交易所通知失去资格之日起，其与交易所签订的相关协议自动终止，一年内交易所不再受理其在相应品种的做市商资格申请。</w:t>
      </w:r>
    </w:p>
    <w:p>
      <w:pPr>
        <w:pStyle w:val="2"/>
        <w:tabs>
          <w:tab w:val="left" w:pos="648"/>
        </w:tabs>
        <w:spacing w:before="120" w:afterLines="50"/>
        <w:jc w:val="center"/>
        <w:rPr>
          <w:rFonts w:ascii="黑体" w:hAnsi="黑体" w:eastAsia="黑体"/>
          <w:b w:val="0"/>
        </w:rPr>
      </w:pPr>
      <w:r>
        <w:rPr>
          <w:rFonts w:hint="eastAsia" w:ascii="黑体" w:hAnsi="黑体" w:eastAsia="黑体"/>
          <w:b w:val="0"/>
        </w:rPr>
        <w:t xml:space="preserve">第三章 </w:t>
      </w:r>
      <w:r>
        <w:rPr>
          <w:rFonts w:hint="eastAsia" w:ascii="黑体" w:hAnsi="黑体" w:eastAsia="黑体"/>
          <w:b w:val="0"/>
          <w:lang w:val="en-US" w:eastAsia="zh-CN"/>
        </w:rPr>
        <w:t xml:space="preserve"> </w:t>
      </w:r>
      <w:r>
        <w:rPr>
          <w:rFonts w:hint="eastAsia" w:ascii="黑体" w:hAnsi="黑体" w:eastAsia="黑体"/>
          <w:b w:val="0"/>
        </w:rPr>
        <w:t>做市交易</w:t>
      </w:r>
    </w:p>
    <w:p>
      <w:pPr>
        <w:numPr>
          <w:ilvl w:val="0"/>
          <w:numId w:val="1"/>
        </w:numPr>
        <w:tabs>
          <w:tab w:val="left" w:pos="1440"/>
          <w:tab w:val="left" w:pos="1701"/>
          <w:tab w:val="left" w:pos="1843"/>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做市商应使用专用的做市交易编码开展做市交易，不得使用该交易编码从事与做市交易无关的其他交易。</w:t>
      </w:r>
    </w:p>
    <w:p>
      <w:pPr>
        <w:tabs>
          <w:tab w:val="left" w:pos="1440"/>
          <w:tab w:val="left" w:pos="1701"/>
          <w:tab w:val="left" w:pos="1843"/>
        </w:tabs>
        <w:spacing w:line="360" w:lineRule="auto"/>
        <w:ind w:firstLine="640" w:firstLineChars="200"/>
        <w:rPr>
          <w:rFonts w:ascii="仿宋" w:hAnsi="仿宋" w:eastAsia="仿宋"/>
          <w:sz w:val="32"/>
          <w:szCs w:val="32"/>
        </w:rPr>
      </w:pPr>
      <w:r>
        <w:rPr>
          <w:rFonts w:hint="eastAsia" w:ascii="仿宋" w:hAnsi="仿宋" w:eastAsia="仿宋"/>
          <w:sz w:val="32"/>
          <w:szCs w:val="32"/>
        </w:rPr>
        <w:t>做市商变更做市交易编码,应当提前向交易所提交变更申请。</w:t>
      </w:r>
    </w:p>
    <w:p>
      <w:pPr>
        <w:tabs>
          <w:tab w:val="left" w:pos="1440"/>
          <w:tab w:val="left" w:pos="1701"/>
          <w:tab w:val="left" w:pos="1843"/>
        </w:tabs>
        <w:spacing w:line="360" w:lineRule="auto"/>
        <w:ind w:firstLine="640" w:firstLineChars="200"/>
        <w:rPr>
          <w:rFonts w:ascii="仿宋" w:hAnsi="仿宋" w:eastAsia="仿宋"/>
          <w:sz w:val="32"/>
          <w:szCs w:val="32"/>
        </w:rPr>
      </w:pPr>
      <w:r>
        <w:rPr>
          <w:rFonts w:hint="eastAsia" w:ascii="仿宋" w:hAnsi="仿宋" w:eastAsia="仿宋"/>
          <w:sz w:val="32"/>
          <w:szCs w:val="32"/>
        </w:rPr>
        <w:t>做市交易编码变更后，原做市交易编码不得开仓。相关持仓了结后，应当及时注销。</w:t>
      </w:r>
    </w:p>
    <w:p>
      <w:pPr>
        <w:numPr>
          <w:ilvl w:val="0"/>
          <w:numId w:val="1"/>
        </w:numPr>
        <w:tabs>
          <w:tab w:val="left" w:pos="1440"/>
          <w:tab w:val="left" w:pos="1701"/>
          <w:tab w:val="left" w:pos="1843"/>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做市商失去某品种做市商资格，应及时将其相应做市交易编码下相关持仓了结。该交易编码下无其他做市品种的，不得开仓并应当及时注销。</w:t>
      </w:r>
    </w:p>
    <w:p>
      <w:pPr>
        <w:numPr>
          <w:ilvl w:val="0"/>
          <w:numId w:val="1"/>
        </w:numPr>
        <w:tabs>
          <w:tab w:val="left" w:pos="1440"/>
          <w:tab w:val="left" w:pos="1701"/>
          <w:tab w:val="left" w:pos="1843"/>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做市商双边报价分为下列类型：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（一）持续报价。在交易时间内，做市商按协议约定，主动提供的持续性双边报价。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（二）回应报价。在交易时间内，做市商按协议约定，对收到询价请求的合约，进行的双边报价。</w:t>
      </w:r>
    </w:p>
    <w:p>
      <w:pPr>
        <w:numPr>
          <w:ilvl w:val="0"/>
          <w:numId w:val="1"/>
        </w:numPr>
        <w:tabs>
          <w:tab w:val="left" w:pos="1440"/>
          <w:tab w:val="left" w:pos="1701"/>
          <w:tab w:val="left" w:pos="1843"/>
          <w:tab w:val="left" w:pos="212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做市商的报价内容包括合约代码、买入价、卖出价和双边报价数量。</w:t>
      </w:r>
    </w:p>
    <w:p>
      <w:pPr>
        <w:numPr>
          <w:ilvl w:val="0"/>
          <w:numId w:val="1"/>
        </w:numPr>
        <w:tabs>
          <w:tab w:val="left" w:pos="1440"/>
          <w:tab w:val="left" w:pos="1701"/>
          <w:tab w:val="left" w:pos="1843"/>
          <w:tab w:val="left" w:pos="2127"/>
        </w:tabs>
        <w:spacing w:line="360" w:lineRule="auto"/>
        <w:ind w:left="0" w:firstLine="640" w:firstLineChars="200"/>
        <w:rPr>
          <w:rFonts w:ascii="仿宋" w:hAnsi="仿宋" w:eastAsia="仿宋"/>
          <w:sz w:val="32"/>
          <w:szCs w:val="32"/>
        </w:rPr>
      </w:pPr>
      <w:r>
        <w:rPr>
          <w:rFonts w:hint="eastAsia" w:ascii="仿宋" w:hAnsi="仿宋" w:eastAsia="仿宋"/>
          <w:bCs/>
          <w:sz w:val="32"/>
          <w:szCs w:val="32"/>
        </w:rPr>
        <w:t>做市商双边报价均以限价方式申报。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做市商在期权品种上通过双边报价指令进行申报，在期货品种上通过双边报价指令或买卖两边的限价指令进行申报。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同一做市商下达同一合约新的双边报价指令后，未成交的原双边报价指令自动撤销。</w:t>
      </w:r>
    </w:p>
    <w:p>
      <w:pPr>
        <w:numPr>
          <w:ilvl w:val="0"/>
          <w:numId w:val="1"/>
        </w:numPr>
        <w:tabs>
          <w:tab w:val="left" w:pos="900"/>
          <w:tab w:val="left" w:pos="1440"/>
          <w:tab w:val="left" w:pos="1701"/>
          <w:tab w:val="left" w:pos="1843"/>
          <w:tab w:val="left" w:pos="2127"/>
          <w:tab w:val="left" w:pos="2410"/>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做市商持仓限额由交易所确定并公布。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做市商因履行做市义务需要，可以向交易所申请增加持仓限额。</w:t>
      </w:r>
    </w:p>
    <w:p>
      <w:pPr>
        <w:pStyle w:val="2"/>
        <w:tabs>
          <w:tab w:val="left" w:pos="648"/>
        </w:tabs>
        <w:spacing w:before="120" w:afterLines="50"/>
        <w:jc w:val="center"/>
        <w:rPr>
          <w:rFonts w:ascii="黑体" w:hAnsi="黑体" w:eastAsia="黑体"/>
          <w:b w:val="0"/>
        </w:rPr>
      </w:pPr>
      <w:bookmarkStart w:id="12" w:name="_Toc111645512"/>
      <w:bookmarkStart w:id="13" w:name="_Toc369378644"/>
      <w:bookmarkStart w:id="14" w:name="_Toc401817178"/>
      <w:bookmarkStart w:id="15" w:name="_Toc402536860"/>
      <w:bookmarkStart w:id="16" w:name="_Toc99348507"/>
      <w:bookmarkStart w:id="17" w:name="_Toc418862460"/>
      <w:bookmarkStart w:id="18" w:name="_Toc413338932"/>
      <w:bookmarkStart w:id="19" w:name="_Toc413315490"/>
      <w:bookmarkStart w:id="20" w:name="_Toc100978792"/>
      <w:bookmarkStart w:id="21" w:name="_Toc102537705"/>
      <w:bookmarkStart w:id="22" w:name="_Toc370132647"/>
      <w:bookmarkStart w:id="23" w:name="_Toc402528255"/>
      <w:r>
        <w:rPr>
          <w:rFonts w:hint="eastAsia" w:ascii="黑体" w:hAnsi="黑体" w:eastAsia="黑体"/>
          <w:b w:val="0"/>
        </w:rPr>
        <w:t xml:space="preserve">第四章 </w:t>
      </w:r>
      <w:r>
        <w:rPr>
          <w:rFonts w:hint="eastAsia" w:ascii="黑体" w:hAnsi="黑体" w:eastAsia="黑体"/>
          <w:b w:val="0"/>
          <w:lang w:val="en-US" w:eastAsia="zh-CN"/>
        </w:rPr>
        <w:t xml:space="preserve"> </w:t>
      </w:r>
      <w:r>
        <w:rPr>
          <w:rFonts w:hint="eastAsia" w:ascii="黑体" w:hAnsi="黑体" w:eastAsia="黑体"/>
          <w:b w:val="0"/>
        </w:rPr>
        <w:t>权利和义务</w:t>
      </w:r>
      <w:bookmarkEnd w:id="12"/>
      <w:bookmarkEnd w:id="13"/>
      <w:bookmarkEnd w:id="14"/>
      <w:bookmarkEnd w:id="15"/>
      <w:bookmarkEnd w:id="16"/>
      <w:bookmarkEnd w:id="17"/>
      <w:bookmarkEnd w:id="18"/>
      <w:bookmarkEnd w:id="19"/>
      <w:bookmarkEnd w:id="20"/>
      <w:bookmarkEnd w:id="21"/>
      <w:bookmarkEnd w:id="22"/>
      <w:bookmarkEnd w:id="23"/>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bCs/>
          <w:sz w:val="32"/>
          <w:szCs w:val="32"/>
        </w:rPr>
      </w:pPr>
      <w:r>
        <w:rPr>
          <w:rFonts w:hint="eastAsia" w:ascii="仿宋" w:hAnsi="仿宋" w:eastAsia="仿宋"/>
          <w:bCs/>
          <w:sz w:val="32"/>
          <w:szCs w:val="32"/>
        </w:rPr>
        <w:t>根据协议约定和做市情况，交易所可以给予做市商交易手续费减免、激励等。</w:t>
      </w:r>
    </w:p>
    <w:p>
      <w:pPr>
        <w:tabs>
          <w:tab w:val="left" w:pos="1440"/>
          <w:tab w:val="left" w:pos="1701"/>
          <w:tab w:val="left" w:pos="1843"/>
          <w:tab w:val="left" w:pos="2127"/>
          <w:tab w:val="left" w:pos="2410"/>
        </w:tabs>
        <w:spacing w:line="360" w:lineRule="auto"/>
        <w:ind w:firstLine="640" w:firstLineChars="200"/>
        <w:rPr>
          <w:rFonts w:ascii="仿宋" w:hAnsi="仿宋" w:eastAsia="仿宋"/>
          <w:bCs/>
          <w:sz w:val="32"/>
          <w:szCs w:val="32"/>
        </w:rPr>
      </w:pPr>
      <w:r>
        <w:rPr>
          <w:rFonts w:hint="eastAsia" w:ascii="仿宋" w:hAnsi="仿宋" w:eastAsia="仿宋"/>
          <w:bCs/>
          <w:sz w:val="32"/>
          <w:szCs w:val="32"/>
        </w:rPr>
        <w:t>交易所根据做市品种运行等情况设置交易手续费减免、激励标准，并与做市商在协议中约定。</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bCs/>
          <w:sz w:val="32"/>
          <w:szCs w:val="32"/>
        </w:rPr>
      </w:pPr>
      <w:r>
        <w:rPr>
          <w:rFonts w:hint="eastAsia" w:ascii="仿宋" w:hAnsi="仿宋" w:eastAsia="仿宋"/>
          <w:bCs/>
          <w:sz w:val="32"/>
          <w:szCs w:val="32"/>
        </w:rPr>
        <w:t>做市商应当按照协议约定，履行协议义务。</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bCs/>
          <w:sz w:val="32"/>
          <w:szCs w:val="32"/>
        </w:rPr>
      </w:pPr>
      <w:r>
        <w:rPr>
          <w:rFonts w:hint="eastAsia" w:ascii="仿宋" w:hAnsi="仿宋" w:eastAsia="仿宋"/>
          <w:bCs/>
          <w:sz w:val="32"/>
          <w:szCs w:val="32"/>
        </w:rPr>
        <w:t>市场出现下列情形之一的，交易所免除期货品种做市商相应的报价义务：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（一）期货合约开盘集合竞价期间，免除做市商在所有做市合约上的报价义务；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（二）做市期货合约价格出现涨跌停板时，免除做市商在该期货合约上的报价义务；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（三）做市期货品种的主力合约价格出现涨跌停板时，免除做市商在所有做市合约上的报价义务；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（四）交易所认定的其他情形。</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报价义务免除的情形消失后，做市商应当继续履行相应的做市义务。</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bCs/>
          <w:sz w:val="32"/>
          <w:szCs w:val="32"/>
        </w:rPr>
        <w:t>市场出现下列情形之一的，交易所免除期权品种做市商相应的报价义务：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（一）期权合约开盘集合竞价期间，免除做市商在所有做市合约上的报价义务；</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bCs/>
          <w:sz w:val="32"/>
          <w:szCs w:val="32"/>
        </w:rPr>
        <w:t>（二）</w:t>
      </w:r>
      <w:r>
        <w:rPr>
          <w:rFonts w:hint="eastAsia" w:ascii="仿宋" w:hAnsi="仿宋" w:eastAsia="仿宋"/>
          <w:sz w:val="32"/>
          <w:szCs w:val="32"/>
        </w:rPr>
        <w:t>标的期货合约价格出现涨跌停板时</w:t>
      </w:r>
      <w:r>
        <w:rPr>
          <w:rFonts w:ascii="仿宋" w:hAnsi="仿宋" w:eastAsia="仿宋"/>
          <w:sz w:val="32"/>
          <w:szCs w:val="32"/>
        </w:rPr>
        <w:t>,免除做市商在相应月份所有期权合约上的报价义务</w:t>
      </w:r>
      <w:r>
        <w:rPr>
          <w:rFonts w:hint="eastAsia" w:ascii="仿宋" w:hAnsi="仿宋" w:eastAsia="仿宋"/>
          <w:sz w:val="32"/>
          <w:szCs w:val="32"/>
        </w:rPr>
        <w:t>；</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（三）期权合约价格出现涨跌停板时，免除做市商在该期权合约上的报价义务；</w:t>
      </w:r>
    </w:p>
    <w:p>
      <w:pPr>
        <w:ind w:firstLine="640" w:firstLineChars="200"/>
        <w:rPr>
          <w:rFonts w:ascii="仿宋" w:hAnsi="仿宋" w:eastAsia="仿宋"/>
          <w:sz w:val="32"/>
          <w:szCs w:val="32"/>
        </w:rPr>
      </w:pPr>
      <w:r>
        <w:rPr>
          <w:rFonts w:hint="eastAsia" w:ascii="仿宋" w:hAnsi="仿宋" w:eastAsia="仿宋"/>
          <w:sz w:val="32"/>
          <w:szCs w:val="32"/>
        </w:rPr>
        <w:t>（四）虚值期权合约的价格低于协议约定标准时</w:t>
      </w:r>
      <w:r>
        <w:rPr>
          <w:rFonts w:ascii="仿宋" w:hAnsi="仿宋" w:eastAsia="仿宋"/>
          <w:sz w:val="32"/>
          <w:szCs w:val="32"/>
        </w:rPr>
        <w:t>,</w:t>
      </w:r>
      <w:r>
        <w:rPr>
          <w:rFonts w:hint="eastAsia" w:ascii="仿宋" w:hAnsi="仿宋" w:eastAsia="仿宋"/>
          <w:sz w:val="32"/>
          <w:szCs w:val="32"/>
        </w:rPr>
        <w:t>免除做市商在该期权合约上的报价义务；</w:t>
      </w:r>
    </w:p>
    <w:p>
      <w:pPr>
        <w:ind w:firstLine="640" w:firstLineChars="200"/>
        <w:rPr>
          <w:rFonts w:ascii="仿宋" w:hAnsi="仿宋" w:eastAsia="仿宋"/>
          <w:sz w:val="32"/>
          <w:szCs w:val="32"/>
        </w:rPr>
      </w:pPr>
      <w:r>
        <w:rPr>
          <w:rFonts w:hint="eastAsia" w:ascii="仿宋" w:hAnsi="仿宋" w:eastAsia="仿宋"/>
          <w:sz w:val="32"/>
          <w:szCs w:val="32"/>
        </w:rPr>
        <w:t>（五）交易所认定的其他情形。</w:t>
      </w:r>
    </w:p>
    <w:p>
      <w:pPr>
        <w:tabs>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报价义务免除的情形消失后，做市商应当继续履行相应的做市义务。</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做市商在规定期间内完成协议约定的义务，方可享受相应权利。</w:t>
      </w:r>
    </w:p>
    <w:p>
      <w:pPr>
        <w:pStyle w:val="2"/>
        <w:tabs>
          <w:tab w:val="left" w:pos="648"/>
        </w:tabs>
        <w:spacing w:before="120" w:afterLines="50"/>
        <w:jc w:val="center"/>
        <w:rPr>
          <w:rFonts w:ascii="黑体" w:hAnsi="黑体" w:eastAsia="黑体"/>
          <w:b w:val="0"/>
        </w:rPr>
      </w:pPr>
      <w:bookmarkStart w:id="24" w:name="_Toc99348509"/>
      <w:bookmarkStart w:id="25" w:name="_Toc401817180"/>
      <w:bookmarkStart w:id="26" w:name="_Toc413338934"/>
      <w:bookmarkStart w:id="27" w:name="_Toc370132649"/>
      <w:bookmarkStart w:id="28" w:name="_Toc402536862"/>
      <w:bookmarkStart w:id="29" w:name="_Toc369378646"/>
      <w:bookmarkStart w:id="30" w:name="_Toc111645514"/>
      <w:bookmarkStart w:id="31" w:name="_Toc402528257"/>
      <w:bookmarkStart w:id="32" w:name="_Toc100978794"/>
      <w:bookmarkStart w:id="33" w:name="_Toc413315492"/>
      <w:bookmarkStart w:id="34" w:name="_Toc102537707"/>
      <w:bookmarkStart w:id="35" w:name="_Toc418862462"/>
      <w:r>
        <w:rPr>
          <w:rFonts w:hint="eastAsia" w:ascii="黑体" w:hAnsi="黑体" w:eastAsia="黑体"/>
          <w:b w:val="0"/>
        </w:rPr>
        <w:t xml:space="preserve">第五章 </w:t>
      </w:r>
      <w:r>
        <w:rPr>
          <w:rFonts w:hint="eastAsia" w:ascii="黑体" w:hAnsi="黑体" w:eastAsia="黑体"/>
          <w:b w:val="0"/>
          <w:lang w:val="en-US" w:eastAsia="zh-CN"/>
        </w:rPr>
        <w:t xml:space="preserve"> </w:t>
      </w:r>
      <w:r>
        <w:rPr>
          <w:rFonts w:hint="eastAsia" w:ascii="黑体" w:hAnsi="黑体" w:eastAsia="黑体"/>
          <w:b w:val="0"/>
        </w:rPr>
        <w:t>监督管理</w:t>
      </w:r>
      <w:bookmarkEnd w:id="24"/>
      <w:bookmarkEnd w:id="25"/>
      <w:bookmarkEnd w:id="26"/>
      <w:bookmarkEnd w:id="27"/>
      <w:bookmarkEnd w:id="28"/>
      <w:bookmarkEnd w:id="29"/>
      <w:bookmarkEnd w:id="30"/>
      <w:bookmarkEnd w:id="31"/>
      <w:bookmarkEnd w:id="32"/>
      <w:bookmarkEnd w:id="33"/>
      <w:bookmarkEnd w:id="34"/>
      <w:bookmarkEnd w:id="35"/>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交易所按照本办法、相关业务规则对做市商进行监管，做市商及其所在期货公司会员应当配合交易所进行监管。</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做市商应当依据市场情况合理报价。</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做市商不得利用做市交易进行内幕交易、市场操纵、欺诈等违法违规行为，或者牟取其他不正当利益。</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做市商应当建立健全信息技术管理制度及应急处理机制，及时向交易所报告做市技术系统开发、测试、接入和升级等情况，并按照交易所要求参与相关测试及应急演练工作。</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交易所可以对做市商做市情况进行评价和排名，并可以公布相关评价情况。</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做市商在控股股东（合伙人）、经营场所、法定代表人、做市交易负责人及其联系方式等发生变化时，以及财务状况和技术系统等发生重大变化时，应自发生之日起3个交易日内向交易所书面报告。</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做市商应当按照交易所要求报告做市交易情况，妥善保存相关交易及风控记录，以备核查。</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交易所可以对做市商的风险管理、交易行为、系统运行以及经营、资信情况等进行监督和检查，做市商应当予以协助和配合。</w:t>
      </w:r>
    </w:p>
    <w:p>
      <w:pPr>
        <w:pStyle w:val="2"/>
        <w:tabs>
          <w:tab w:val="left" w:pos="648"/>
        </w:tabs>
        <w:spacing w:before="120" w:afterLines="50"/>
        <w:jc w:val="center"/>
        <w:rPr>
          <w:rFonts w:ascii="黑体" w:hAnsi="黑体" w:eastAsia="黑体"/>
          <w:b w:val="0"/>
        </w:rPr>
      </w:pPr>
      <w:bookmarkStart w:id="36" w:name="_Toc401817181"/>
      <w:bookmarkStart w:id="37" w:name="_Toc369378647"/>
      <w:bookmarkStart w:id="38" w:name="_Toc413315493"/>
      <w:bookmarkStart w:id="39" w:name="_Toc402528258"/>
      <w:bookmarkStart w:id="40" w:name="_Toc370132650"/>
      <w:bookmarkStart w:id="41" w:name="_Toc413338935"/>
      <w:bookmarkStart w:id="42" w:name="_Toc418862463"/>
      <w:bookmarkStart w:id="43" w:name="_Toc99348510"/>
      <w:bookmarkStart w:id="44" w:name="_Toc111645515"/>
      <w:bookmarkStart w:id="45" w:name="_Toc102537708"/>
      <w:bookmarkStart w:id="46" w:name="_Toc402536863"/>
      <w:bookmarkStart w:id="47" w:name="_Toc100978795"/>
      <w:r>
        <w:rPr>
          <w:rFonts w:hint="eastAsia" w:ascii="黑体" w:hAnsi="黑体" w:eastAsia="黑体"/>
          <w:b w:val="0"/>
        </w:rPr>
        <w:t>第六章</w:t>
      </w:r>
      <w:r>
        <w:rPr>
          <w:rFonts w:hint="eastAsia" w:ascii="黑体" w:hAnsi="黑体" w:eastAsia="黑体"/>
          <w:b w:val="0"/>
          <w:lang w:val="en-US" w:eastAsia="zh-CN"/>
        </w:rPr>
        <w:t xml:space="preserve">  </w:t>
      </w:r>
      <w:r>
        <w:rPr>
          <w:rFonts w:hint="eastAsia" w:ascii="黑体" w:hAnsi="黑体" w:eastAsia="黑体"/>
          <w:b w:val="0"/>
        </w:rPr>
        <w:t>附</w:t>
      </w:r>
      <w:r>
        <w:rPr>
          <w:rFonts w:hint="eastAsia" w:ascii="黑体" w:hAnsi="黑体" w:eastAsia="黑体"/>
          <w:b w:val="0"/>
          <w:lang w:val="en-US" w:eastAsia="zh-CN"/>
        </w:rPr>
        <w:t xml:space="preserve"> </w:t>
      </w:r>
      <w:r>
        <w:rPr>
          <w:rFonts w:hint="eastAsia" w:ascii="黑体" w:hAnsi="黑体" w:eastAsia="黑体"/>
          <w:b w:val="0"/>
        </w:rPr>
        <w:t>则</w:t>
      </w:r>
      <w:bookmarkEnd w:id="36"/>
      <w:bookmarkEnd w:id="37"/>
      <w:bookmarkEnd w:id="38"/>
      <w:bookmarkEnd w:id="39"/>
      <w:bookmarkEnd w:id="40"/>
      <w:bookmarkEnd w:id="41"/>
      <w:bookmarkEnd w:id="42"/>
      <w:bookmarkEnd w:id="43"/>
      <w:bookmarkEnd w:id="44"/>
      <w:bookmarkEnd w:id="45"/>
      <w:bookmarkEnd w:id="46"/>
      <w:bookmarkEnd w:id="47"/>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ascii="仿宋" w:hAnsi="仿宋" w:eastAsia="仿宋"/>
          <w:sz w:val="32"/>
          <w:szCs w:val="32"/>
        </w:rPr>
        <w:t>违反本办法规定的，</w:t>
      </w:r>
      <w:r>
        <w:rPr>
          <w:rFonts w:hint="eastAsia" w:ascii="仿宋" w:hAnsi="仿宋" w:eastAsia="仿宋"/>
          <w:sz w:val="32"/>
          <w:szCs w:val="32"/>
        </w:rPr>
        <w:t>交易所按</w:t>
      </w:r>
      <w:r>
        <w:rPr>
          <w:rFonts w:ascii="仿宋" w:hAnsi="仿宋" w:eastAsia="仿宋"/>
          <w:sz w:val="32"/>
          <w:szCs w:val="32"/>
        </w:rPr>
        <w:t>《</w:t>
      </w:r>
      <w:r>
        <w:rPr>
          <w:rFonts w:hint="eastAsia" w:ascii="仿宋" w:hAnsi="仿宋" w:eastAsia="仿宋"/>
          <w:sz w:val="32"/>
          <w:szCs w:val="32"/>
        </w:rPr>
        <w:t>郑州商品交易所</w:t>
      </w:r>
      <w:r>
        <w:rPr>
          <w:rFonts w:ascii="仿宋" w:hAnsi="仿宋" w:eastAsia="仿宋"/>
          <w:sz w:val="32"/>
          <w:szCs w:val="32"/>
        </w:rPr>
        <w:t>违规处理办法》的有关规定处理。</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本办法解释权属于郑州商品交易所。</w:t>
      </w:r>
    </w:p>
    <w:p>
      <w:pPr>
        <w:numPr>
          <w:ilvl w:val="0"/>
          <w:numId w:val="1"/>
        </w:numPr>
        <w:tabs>
          <w:tab w:val="left" w:pos="1440"/>
          <w:tab w:val="left" w:pos="1701"/>
          <w:tab w:val="left" w:pos="1843"/>
          <w:tab w:val="left" w:pos="2127"/>
          <w:tab w:val="left" w:pos="2410"/>
          <w:tab w:val="clear" w:pos="6037"/>
        </w:tabs>
        <w:spacing w:line="360" w:lineRule="auto"/>
        <w:ind w:left="0" w:firstLine="640" w:firstLineChars="200"/>
        <w:rPr>
          <w:rFonts w:ascii="仿宋" w:hAnsi="仿宋" w:eastAsia="仿宋"/>
          <w:sz w:val="32"/>
          <w:szCs w:val="32"/>
        </w:rPr>
      </w:pPr>
      <w:r>
        <w:rPr>
          <w:rFonts w:hint="eastAsia" w:ascii="仿宋" w:hAnsi="仿宋" w:eastAsia="仿宋"/>
          <w:sz w:val="32"/>
          <w:szCs w:val="32"/>
        </w:rPr>
        <w:t>本办法自</w:t>
      </w:r>
      <w:r>
        <w:rPr>
          <w:rFonts w:hint="eastAsia" w:hAnsi="仿宋" w:eastAsia="仿宋"/>
          <w:sz w:val="32"/>
          <w:szCs w:val="30"/>
        </w:rPr>
        <w:t>2024年</w:t>
      </w:r>
      <w:r>
        <w:rPr>
          <w:rFonts w:hint="eastAsia" w:hAnsi="仿宋" w:eastAsia="仿宋"/>
          <w:sz w:val="32"/>
          <w:szCs w:val="30"/>
          <w:lang w:val="en-US" w:eastAsia="zh-CN"/>
        </w:rPr>
        <w:t>4</w:t>
      </w:r>
      <w:r>
        <w:rPr>
          <w:rFonts w:hint="eastAsia" w:hAnsi="仿宋" w:eastAsia="仿宋"/>
          <w:sz w:val="32"/>
          <w:szCs w:val="30"/>
        </w:rPr>
        <w:t>月</w:t>
      </w:r>
      <w:r>
        <w:rPr>
          <w:rFonts w:hint="eastAsia" w:hAnsi="仿宋" w:eastAsia="仿宋"/>
          <w:sz w:val="32"/>
          <w:szCs w:val="30"/>
          <w:lang w:val="en-US" w:eastAsia="zh-CN"/>
        </w:rPr>
        <w:t>1</w:t>
      </w:r>
      <w:r>
        <w:rPr>
          <w:rFonts w:hint="eastAsia" w:hAnsi="仿宋" w:eastAsia="仿宋"/>
          <w:sz w:val="32"/>
          <w:szCs w:val="30"/>
        </w:rPr>
        <w:t>日</w:t>
      </w:r>
      <w:r>
        <w:rPr>
          <w:rFonts w:hint="eastAsia" w:ascii="仿宋" w:hAnsi="仿宋" w:eastAsia="仿宋"/>
          <w:sz w:val="32"/>
          <w:szCs w:val="32"/>
        </w:rPr>
        <w:t>起施行</w:t>
      </w:r>
      <w:r>
        <w:rPr>
          <w:rFonts w:ascii="仿宋" w:hAnsi="仿宋" w:eastAsia="仿宋"/>
          <w:sz w:val="32"/>
          <w:szCs w:val="32"/>
        </w:rPr>
        <w:t>。</w:t>
      </w:r>
    </w:p>
    <w:p>
      <w:pPr>
        <w:ind w:firstLine="648"/>
        <w:rPr>
          <w:rFonts w:ascii="仿宋" w:hAnsi="仿宋" w:eastAsia="仿宋"/>
          <w:sz w:val="32"/>
          <w:szCs w:val="32"/>
        </w:rPr>
      </w:pPr>
    </w:p>
    <w:p>
      <w:pPr>
        <w:rPr>
          <w:rFonts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rPr>
    </w:pPr>
    <w:r>
      <w:rPr>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4</w:t>
    </w:r>
    <w:r>
      <w:rPr>
        <w:rStyle w:val="12"/>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2212F"/>
    <w:multiLevelType w:val="multilevel"/>
    <w:tmpl w:val="1C62212F"/>
    <w:lvl w:ilvl="0" w:tentative="0">
      <w:start w:val="1"/>
      <w:numFmt w:val="chineseCountingThousand"/>
      <w:lvlText w:val="第%1条"/>
      <w:lvlJc w:val="left"/>
      <w:pPr>
        <w:tabs>
          <w:tab w:val="left" w:pos="6037"/>
        </w:tabs>
        <w:ind w:left="6037" w:hanging="2918"/>
      </w:pPr>
      <w:rPr>
        <w:rFonts w:hint="eastAsia" w:ascii="黑体" w:hAnsi="黑体" w:eastAsia="黑体"/>
        <w:b w:val="0"/>
        <w:i w:val="0"/>
        <w:sz w:val="32"/>
        <w:szCs w:val="28"/>
        <w:lang w:val="en-US"/>
      </w:rPr>
    </w:lvl>
    <w:lvl w:ilvl="1" w:tentative="0">
      <w:start w:val="3"/>
      <w:numFmt w:val="japaneseCounting"/>
      <w:lvlText w:val="第%2条"/>
      <w:lvlJc w:val="left"/>
      <w:pPr>
        <w:tabs>
          <w:tab w:val="left" w:pos="3758"/>
        </w:tabs>
        <w:ind w:left="3758" w:hanging="1440"/>
      </w:pPr>
      <w:rPr>
        <w:rFonts w:hint="eastAsia"/>
      </w:rPr>
    </w:lvl>
    <w:lvl w:ilvl="2" w:tentative="0">
      <w:start w:val="1"/>
      <w:numFmt w:val="lowerRoman"/>
      <w:lvlText w:val="%3."/>
      <w:lvlJc w:val="right"/>
      <w:pPr>
        <w:tabs>
          <w:tab w:val="left" w:pos="3158"/>
        </w:tabs>
        <w:ind w:left="3158" w:hanging="420"/>
      </w:pPr>
      <w:rPr>
        <w:rFonts w:hint="eastAsia"/>
      </w:rPr>
    </w:lvl>
    <w:lvl w:ilvl="3" w:tentative="0">
      <w:start w:val="1"/>
      <w:numFmt w:val="decimal"/>
      <w:lvlText w:val="%4."/>
      <w:lvlJc w:val="left"/>
      <w:pPr>
        <w:tabs>
          <w:tab w:val="left" w:pos="3578"/>
        </w:tabs>
        <w:ind w:left="3578" w:hanging="420"/>
      </w:pPr>
      <w:rPr>
        <w:rFonts w:hint="eastAsia"/>
      </w:rPr>
    </w:lvl>
    <w:lvl w:ilvl="4" w:tentative="0">
      <w:start w:val="1"/>
      <w:numFmt w:val="lowerLetter"/>
      <w:lvlText w:val="%5)"/>
      <w:lvlJc w:val="left"/>
      <w:pPr>
        <w:tabs>
          <w:tab w:val="left" w:pos="3998"/>
        </w:tabs>
        <w:ind w:left="3998" w:hanging="420"/>
      </w:pPr>
      <w:rPr>
        <w:rFonts w:hint="eastAsia"/>
      </w:rPr>
    </w:lvl>
    <w:lvl w:ilvl="5" w:tentative="0">
      <w:start w:val="1"/>
      <w:numFmt w:val="lowerRoman"/>
      <w:lvlText w:val="%6."/>
      <w:lvlJc w:val="right"/>
      <w:pPr>
        <w:tabs>
          <w:tab w:val="left" w:pos="4418"/>
        </w:tabs>
        <w:ind w:left="4418" w:hanging="420"/>
      </w:pPr>
      <w:rPr>
        <w:rFonts w:hint="eastAsia"/>
      </w:rPr>
    </w:lvl>
    <w:lvl w:ilvl="6" w:tentative="0">
      <w:start w:val="1"/>
      <w:numFmt w:val="decimal"/>
      <w:lvlText w:val="%7."/>
      <w:lvlJc w:val="left"/>
      <w:pPr>
        <w:tabs>
          <w:tab w:val="left" w:pos="4838"/>
        </w:tabs>
        <w:ind w:left="4838" w:hanging="420"/>
      </w:pPr>
      <w:rPr>
        <w:rFonts w:hint="eastAsia"/>
      </w:rPr>
    </w:lvl>
    <w:lvl w:ilvl="7" w:tentative="0">
      <w:start w:val="1"/>
      <w:numFmt w:val="lowerLetter"/>
      <w:lvlText w:val="%8)"/>
      <w:lvlJc w:val="left"/>
      <w:pPr>
        <w:tabs>
          <w:tab w:val="left" w:pos="5258"/>
        </w:tabs>
        <w:ind w:left="5258" w:hanging="420"/>
      </w:pPr>
      <w:rPr>
        <w:rFonts w:hint="eastAsia"/>
      </w:rPr>
    </w:lvl>
    <w:lvl w:ilvl="8" w:tentative="0">
      <w:start w:val="1"/>
      <w:numFmt w:val="lowerRoman"/>
      <w:lvlText w:val="%9."/>
      <w:lvlJc w:val="right"/>
      <w:pPr>
        <w:tabs>
          <w:tab w:val="left" w:pos="5678"/>
        </w:tabs>
        <w:ind w:left="5678"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6B4A"/>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54B5"/>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4770EC3"/>
    <w:rsid w:val="10EE2218"/>
    <w:rsid w:val="17FFA3B2"/>
    <w:rsid w:val="1FDFCBD5"/>
    <w:rsid w:val="20116F39"/>
    <w:rsid w:val="2F6E384B"/>
    <w:rsid w:val="3575170E"/>
    <w:rsid w:val="379F99A2"/>
    <w:rsid w:val="3FFF65B6"/>
    <w:rsid w:val="477E66A7"/>
    <w:rsid w:val="53377EBC"/>
    <w:rsid w:val="5E3BCECF"/>
    <w:rsid w:val="5E6B5250"/>
    <w:rsid w:val="61314FB2"/>
    <w:rsid w:val="691252A8"/>
    <w:rsid w:val="6B63BEAC"/>
    <w:rsid w:val="6D727F49"/>
    <w:rsid w:val="6D9FA3DD"/>
    <w:rsid w:val="6FEF3396"/>
    <w:rsid w:val="73CE25FA"/>
    <w:rsid w:val="776FE840"/>
    <w:rsid w:val="77FB7478"/>
    <w:rsid w:val="77FD8973"/>
    <w:rsid w:val="78031D0F"/>
    <w:rsid w:val="7B5FE3D2"/>
    <w:rsid w:val="7BDFD587"/>
    <w:rsid w:val="7BFFFDE5"/>
    <w:rsid w:val="87BE8329"/>
    <w:rsid w:val="8FBDB18C"/>
    <w:rsid w:val="9FE3DABD"/>
    <w:rsid w:val="AA77C161"/>
    <w:rsid w:val="BE9EEF6B"/>
    <w:rsid w:val="C7DB0268"/>
    <w:rsid w:val="D6FFAF2E"/>
    <w:rsid w:val="DF292F75"/>
    <w:rsid w:val="E74D900D"/>
    <w:rsid w:val="EF7F4C94"/>
    <w:rsid w:val="EFF1060E"/>
    <w:rsid w:val="F25DC06F"/>
    <w:rsid w:val="F5C75612"/>
    <w:rsid w:val="F75E0B8A"/>
    <w:rsid w:val="F9BC242C"/>
    <w:rsid w:val="FE7DE993"/>
    <w:rsid w:val="FEFFC1D2"/>
    <w:rsid w:val="FFCA228C"/>
    <w:rsid w:val="FFDFB72B"/>
    <w:rsid w:val="FFEED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rPr>
      <w:rFonts w:ascii="仿宋_GB2312" w:eastAsia="仿宋_GB2312"/>
      <w:sz w:val="32"/>
    </w:rPr>
  </w:style>
  <w:style w:type="paragraph" w:styleId="4">
    <w:name w:val="Body Text Indent 2"/>
    <w:basedOn w:val="1"/>
    <w:qFormat/>
    <w:uiPriority w:val="0"/>
    <w:pPr>
      <w:ind w:firstLine="538" w:firstLineChars="192"/>
    </w:pPr>
    <w:rPr>
      <w:sz w:val="28"/>
    </w:r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脚 Char"/>
    <w:basedOn w:val="11"/>
    <w:link w:val="6"/>
    <w:qFormat/>
    <w:uiPriority w:val="0"/>
    <w:rPr>
      <w:rFonts w:ascii="Times New Roman" w:hAnsi="Times New Roman" w:eastAsia="宋体" w:cs="Times New Roman"/>
      <w:sz w:val="18"/>
      <w:szCs w:val="18"/>
    </w:rPr>
  </w:style>
  <w:style w:type="character" w:customStyle="1" w:styleId="14">
    <w:name w:val="日期 Char"/>
    <w:basedOn w:val="11"/>
    <w:link w:val="3"/>
    <w:qFormat/>
    <w:uiPriority w:val="0"/>
    <w:rPr>
      <w:rFonts w:ascii="仿宋_GB2312" w:hAnsi="Times New Roman" w:eastAsia="仿宋_GB2312" w:cs="Times New Roman"/>
      <w:sz w:val="32"/>
      <w:szCs w:val="24"/>
    </w:rPr>
  </w:style>
  <w:style w:type="character" w:customStyle="1" w:styleId="15">
    <w:name w:val="页眉 Char"/>
    <w:basedOn w:val="11"/>
    <w:link w:val="7"/>
    <w:qFormat/>
    <w:uiPriority w:val="99"/>
    <w:rPr>
      <w:rFonts w:ascii="Times New Roman" w:hAnsi="Times New Roman" w:eastAsia="宋体" w:cs="Times New Roman"/>
      <w:sz w:val="18"/>
      <w:szCs w:val="18"/>
    </w:rPr>
  </w:style>
  <w:style w:type="character" w:customStyle="1" w:styleId="16">
    <w:name w:val="批注框文本 Char"/>
    <w:basedOn w:val="11"/>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556</Words>
  <Characters>3172</Characters>
  <Lines>26</Lines>
  <Paragraphs>7</Paragraphs>
  <TotalTime>0</TotalTime>
  <ScaleCrop>false</ScaleCrop>
  <LinksUpToDate>false</LinksUpToDate>
  <CharactersWithSpaces>3721</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2024-03-31T23:39:00Z</dcterms:created>
  <dc:creator>CN=李小鹏/OU=办公室/O=CZCE</dc:creator>
  <cp:lastModifiedBy>邢艳艳</cp:lastModifiedBy>
  <dcterms:modified xsi:type="dcterms:W3CDTF">2024-03-28T16:11:36Z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8F16F72A97644E40B442C92FA2997825</vt:lpwstr>
  </property>
</Properties>
</file>